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47D" w:rsidRPr="007B7021" w:rsidRDefault="00C6747D" w:rsidP="00C6747D">
      <w:pPr>
        <w:jc w:val="center"/>
        <w:rPr>
          <w:b/>
          <w:sz w:val="22"/>
          <w:szCs w:val="22"/>
          <w:u w:val="single"/>
        </w:rPr>
      </w:pPr>
      <w:bookmarkStart w:id="0" w:name="_GoBack"/>
      <w:bookmarkEnd w:id="0"/>
      <w:r w:rsidRPr="007B7021">
        <w:rPr>
          <w:b/>
          <w:sz w:val="22"/>
          <w:szCs w:val="22"/>
          <w:u w:val="single"/>
        </w:rPr>
        <w:t>The Facts on Longer Trucks</w:t>
      </w:r>
    </w:p>
    <w:p w:rsidR="00C6747D" w:rsidRPr="007B7021" w:rsidRDefault="00C6747D" w:rsidP="00C6747D">
      <w:pPr>
        <w:jc w:val="center"/>
        <w:rPr>
          <w:b/>
          <w:sz w:val="22"/>
          <w:szCs w:val="22"/>
        </w:rPr>
      </w:pPr>
    </w:p>
    <w:p w:rsidR="00C6747D" w:rsidRPr="007B7021" w:rsidRDefault="00EE20DA" w:rsidP="00C6747D">
      <w:pPr>
        <w:rPr>
          <w:b/>
          <w:sz w:val="22"/>
          <w:szCs w:val="22"/>
        </w:rPr>
      </w:pPr>
      <w:r>
        <w:rPr>
          <w:b/>
          <w:sz w:val="22"/>
          <w:szCs w:val="22"/>
        </w:rPr>
        <w:t>Proposals to Allow Longer Trucks on Our Nation’s Roadways Will Jeopardize S</w:t>
      </w:r>
      <w:r w:rsidR="00C6747D" w:rsidRPr="007B7021">
        <w:rPr>
          <w:b/>
          <w:sz w:val="22"/>
          <w:szCs w:val="22"/>
        </w:rPr>
        <w:t>afety</w:t>
      </w:r>
      <w:r w:rsidR="008E4B07">
        <w:rPr>
          <w:b/>
          <w:sz w:val="22"/>
          <w:szCs w:val="22"/>
        </w:rPr>
        <w:t>,</w:t>
      </w:r>
      <w:r w:rsidR="007B7021" w:rsidRPr="007B7021">
        <w:rPr>
          <w:b/>
          <w:sz w:val="22"/>
          <w:szCs w:val="22"/>
        </w:rPr>
        <w:t xml:space="preserve"> </w:t>
      </w:r>
      <w:r>
        <w:rPr>
          <w:b/>
          <w:sz w:val="22"/>
          <w:szCs w:val="22"/>
        </w:rPr>
        <w:t>Further Damage Our I</w:t>
      </w:r>
      <w:r w:rsidR="00C6747D" w:rsidRPr="007B7021">
        <w:rPr>
          <w:b/>
          <w:sz w:val="22"/>
          <w:szCs w:val="22"/>
        </w:rPr>
        <w:t>nfrastructure</w:t>
      </w:r>
      <w:r w:rsidR="008E4B07">
        <w:rPr>
          <w:b/>
          <w:sz w:val="22"/>
          <w:szCs w:val="22"/>
        </w:rPr>
        <w:t xml:space="preserve">, and Disregard Public Opinion on Truck Size </w:t>
      </w:r>
    </w:p>
    <w:p w:rsidR="00C6747D" w:rsidRPr="007B7021" w:rsidRDefault="00C6747D" w:rsidP="00C6747D">
      <w:pPr>
        <w:rPr>
          <w:sz w:val="22"/>
          <w:szCs w:val="22"/>
        </w:rPr>
      </w:pPr>
    </w:p>
    <w:p w:rsidR="00C6747D" w:rsidRPr="00376868" w:rsidRDefault="008E4B07" w:rsidP="00376868">
      <w:pPr>
        <w:rPr>
          <w:sz w:val="22"/>
          <w:szCs w:val="22"/>
        </w:rPr>
      </w:pPr>
      <w:r>
        <w:rPr>
          <w:sz w:val="22"/>
          <w:szCs w:val="22"/>
        </w:rPr>
        <w:t>Thirty-three</w:t>
      </w:r>
      <w:r w:rsidR="00C6747D" w:rsidRPr="007B7021">
        <w:rPr>
          <w:sz w:val="22"/>
          <w:szCs w:val="22"/>
        </w:rPr>
        <w:t xml:space="preserve">-foot double-trailer trucks are </w:t>
      </w:r>
      <w:r>
        <w:rPr>
          <w:sz w:val="22"/>
          <w:szCs w:val="22"/>
        </w:rPr>
        <w:t>10 feet longer than the existing double configurations</w:t>
      </w:r>
      <w:r w:rsidR="00C6747D" w:rsidRPr="007B7021">
        <w:rPr>
          <w:sz w:val="22"/>
          <w:szCs w:val="22"/>
        </w:rPr>
        <w:t xml:space="preserve"> they would replace and are 17 feet longer than the </w:t>
      </w:r>
      <w:r w:rsidR="008C6880" w:rsidRPr="007B7021">
        <w:rPr>
          <w:sz w:val="22"/>
          <w:szCs w:val="22"/>
        </w:rPr>
        <w:t xml:space="preserve">53-foot </w:t>
      </w:r>
      <w:r w:rsidR="00C6747D" w:rsidRPr="007B7021">
        <w:rPr>
          <w:sz w:val="22"/>
          <w:szCs w:val="22"/>
        </w:rPr>
        <w:t>single-trail</w:t>
      </w:r>
      <w:r w:rsidR="00376868">
        <w:rPr>
          <w:sz w:val="22"/>
          <w:szCs w:val="22"/>
        </w:rPr>
        <w:t>er trucks on the road today. A mandate by Congress for these longer trucks</w:t>
      </w:r>
      <w:r w:rsidR="00C6747D" w:rsidRPr="007B7021">
        <w:rPr>
          <w:sz w:val="22"/>
          <w:szCs w:val="22"/>
        </w:rPr>
        <w:t xml:space="preserve"> would override the</w:t>
      </w:r>
      <w:r w:rsidR="00F648D3">
        <w:rPr>
          <w:sz w:val="22"/>
          <w:szCs w:val="22"/>
        </w:rPr>
        <w:t xml:space="preserve"> laws of most</w:t>
      </w:r>
      <w:r w:rsidR="00C6747D" w:rsidRPr="007B7021">
        <w:rPr>
          <w:sz w:val="22"/>
          <w:szCs w:val="22"/>
        </w:rPr>
        <w:t xml:space="preserve"> stat</w:t>
      </w:r>
      <w:r w:rsidR="008C6880" w:rsidRPr="007B7021">
        <w:rPr>
          <w:sz w:val="22"/>
          <w:szCs w:val="22"/>
        </w:rPr>
        <w:t>es</w:t>
      </w:r>
      <w:r w:rsidR="00C6747D" w:rsidRPr="007B7021">
        <w:rPr>
          <w:sz w:val="22"/>
          <w:szCs w:val="22"/>
        </w:rPr>
        <w:t xml:space="preserve">. Moreover, public opinion polls show that the American public has consistently affirmed their overwhelming support for truck size limitations. </w:t>
      </w:r>
      <w:r w:rsidR="00376868" w:rsidRPr="00376868">
        <w:rPr>
          <w:sz w:val="22"/>
          <w:szCs w:val="22"/>
        </w:rPr>
        <w:t>A nationwide survey conducted by Harper Polling</w:t>
      </w:r>
      <w:r w:rsidR="00376868">
        <w:rPr>
          <w:sz w:val="22"/>
          <w:szCs w:val="22"/>
        </w:rPr>
        <w:t xml:space="preserve"> in January 2015</w:t>
      </w:r>
      <w:r w:rsidR="00376868" w:rsidRPr="00376868">
        <w:rPr>
          <w:sz w:val="22"/>
          <w:szCs w:val="22"/>
        </w:rPr>
        <w:t xml:space="preserve"> found that 76 percent of respondents op</w:t>
      </w:r>
      <w:r w:rsidR="00376868">
        <w:rPr>
          <w:sz w:val="22"/>
          <w:szCs w:val="22"/>
        </w:rPr>
        <w:t>pose longer and heavier trucks.</w:t>
      </w:r>
      <w:r w:rsidR="00376868" w:rsidRPr="00376868">
        <w:rPr>
          <w:sz w:val="22"/>
          <w:szCs w:val="22"/>
        </w:rPr>
        <w:t xml:space="preserve"> </w:t>
      </w:r>
      <w:proofErr w:type="gramStart"/>
      <w:r w:rsidR="00376868">
        <w:rPr>
          <w:sz w:val="22"/>
          <w:szCs w:val="22"/>
        </w:rPr>
        <w:t>This reaffirmed findings</w:t>
      </w:r>
      <w:proofErr w:type="gramEnd"/>
      <w:r w:rsidR="00376868">
        <w:rPr>
          <w:sz w:val="22"/>
          <w:szCs w:val="22"/>
        </w:rPr>
        <w:t xml:space="preserve"> from a</w:t>
      </w:r>
      <w:r w:rsidR="00376868" w:rsidRPr="00376868">
        <w:rPr>
          <w:sz w:val="22"/>
          <w:szCs w:val="22"/>
        </w:rPr>
        <w:t xml:space="preserve"> public opinion poll </w:t>
      </w:r>
      <w:r w:rsidR="00376868">
        <w:rPr>
          <w:sz w:val="22"/>
          <w:szCs w:val="22"/>
        </w:rPr>
        <w:t xml:space="preserve">conducted </w:t>
      </w:r>
      <w:r w:rsidR="00376868" w:rsidRPr="00376868">
        <w:rPr>
          <w:sz w:val="22"/>
          <w:szCs w:val="22"/>
        </w:rPr>
        <w:t xml:space="preserve">by Lake Research Partners </w:t>
      </w:r>
      <w:r w:rsidR="00376868">
        <w:rPr>
          <w:sz w:val="22"/>
          <w:szCs w:val="22"/>
        </w:rPr>
        <w:t xml:space="preserve">in May 2013 that found </w:t>
      </w:r>
      <w:r w:rsidR="00376868" w:rsidRPr="00376868">
        <w:rPr>
          <w:sz w:val="22"/>
          <w:szCs w:val="22"/>
        </w:rPr>
        <w:t>68 percent of Americans oppose heavier trucks and 88 percent of Americans do not want to pay higher taxes for the da</w:t>
      </w:r>
      <w:r w:rsidR="00376868">
        <w:rPr>
          <w:sz w:val="22"/>
          <w:szCs w:val="22"/>
        </w:rPr>
        <w:t>mage caused by heavier trucks.</w:t>
      </w:r>
    </w:p>
    <w:p w:rsidR="00C6747D" w:rsidRPr="007B7021" w:rsidRDefault="00C6747D" w:rsidP="00C6747D">
      <w:pPr>
        <w:jc w:val="center"/>
        <w:rPr>
          <w:b/>
          <w:sz w:val="22"/>
          <w:szCs w:val="22"/>
          <w:u w:val="single"/>
        </w:rPr>
      </w:pPr>
    </w:p>
    <w:p w:rsidR="00C6747D" w:rsidRPr="007B7021" w:rsidRDefault="00C6747D" w:rsidP="00C6747D">
      <w:pPr>
        <w:rPr>
          <w:b/>
          <w:sz w:val="22"/>
          <w:szCs w:val="22"/>
        </w:rPr>
      </w:pPr>
      <w:r w:rsidRPr="007B7021">
        <w:rPr>
          <w:b/>
          <w:sz w:val="22"/>
          <w:szCs w:val="22"/>
        </w:rPr>
        <w:t>Longer Trucks Will Be More Dangerous to Motorists, Motorcyclists, Bicyclists and Pedestrians</w:t>
      </w:r>
    </w:p>
    <w:p w:rsidR="00C6747D" w:rsidRPr="007B7021" w:rsidRDefault="00C6747D" w:rsidP="00C6747D">
      <w:pPr>
        <w:numPr>
          <w:ilvl w:val="0"/>
          <w:numId w:val="1"/>
        </w:numPr>
        <w:rPr>
          <w:sz w:val="22"/>
          <w:szCs w:val="22"/>
        </w:rPr>
      </w:pPr>
      <w:r w:rsidRPr="007B7021">
        <w:rPr>
          <w:sz w:val="22"/>
          <w:szCs w:val="22"/>
        </w:rPr>
        <w:t>Every year on average 4,000 people are killed in truck</w:t>
      </w:r>
      <w:r w:rsidR="0010556A" w:rsidRPr="007B7021">
        <w:rPr>
          <w:sz w:val="22"/>
          <w:szCs w:val="22"/>
        </w:rPr>
        <w:t xml:space="preserve"> crashes in the U.S. and around</w:t>
      </w:r>
      <w:r w:rsidRPr="007B7021">
        <w:rPr>
          <w:sz w:val="22"/>
          <w:szCs w:val="22"/>
        </w:rPr>
        <w:t xml:space="preserve"> 100,000 are injured.</w:t>
      </w:r>
      <w:r w:rsidR="00EE20DA">
        <w:rPr>
          <w:sz w:val="22"/>
          <w:szCs w:val="22"/>
        </w:rPr>
        <w:t xml:space="preserve"> 2015</w:t>
      </w:r>
      <w:r w:rsidRPr="007B7021">
        <w:rPr>
          <w:sz w:val="22"/>
          <w:szCs w:val="22"/>
        </w:rPr>
        <w:t xml:space="preserve"> U.S. De</w:t>
      </w:r>
      <w:r w:rsidR="00BB62C9">
        <w:rPr>
          <w:sz w:val="22"/>
          <w:szCs w:val="22"/>
        </w:rPr>
        <w:t>partment of Transportation (</w:t>
      </w:r>
      <w:r w:rsidRPr="007B7021">
        <w:rPr>
          <w:sz w:val="22"/>
          <w:szCs w:val="22"/>
        </w:rPr>
        <w:t xml:space="preserve">DOT) data reveals fatality figures have increased for the </w:t>
      </w:r>
      <w:r w:rsidR="00024217">
        <w:rPr>
          <w:sz w:val="22"/>
          <w:szCs w:val="22"/>
        </w:rPr>
        <w:t>six</w:t>
      </w:r>
      <w:r w:rsidR="00884601" w:rsidRPr="007B7021">
        <w:rPr>
          <w:sz w:val="22"/>
          <w:szCs w:val="22"/>
        </w:rPr>
        <w:t>th</w:t>
      </w:r>
      <w:r w:rsidR="00024217">
        <w:rPr>
          <w:sz w:val="22"/>
          <w:szCs w:val="22"/>
        </w:rPr>
        <w:t xml:space="preserve"> year in a row—a 20</w:t>
      </w:r>
      <w:r w:rsidRPr="007B7021">
        <w:rPr>
          <w:sz w:val="22"/>
          <w:szCs w:val="22"/>
        </w:rPr>
        <w:t xml:space="preserve"> percent increase in truck crash deaths since 2009.  More staggering, the number of</w:t>
      </w:r>
      <w:r w:rsidR="00024217">
        <w:rPr>
          <w:sz w:val="22"/>
          <w:szCs w:val="22"/>
        </w:rPr>
        <w:t xml:space="preserve"> truck crashes and the</w:t>
      </w:r>
      <w:r w:rsidRPr="007B7021">
        <w:rPr>
          <w:sz w:val="22"/>
          <w:szCs w:val="22"/>
        </w:rPr>
        <w:t xml:space="preserve"> people injured in these crashes has increased by </w:t>
      </w:r>
      <w:r w:rsidR="00024217">
        <w:rPr>
          <w:sz w:val="22"/>
          <w:szCs w:val="22"/>
        </w:rPr>
        <w:t>45 percent and 57</w:t>
      </w:r>
      <w:r w:rsidRPr="007B7021">
        <w:rPr>
          <w:sz w:val="22"/>
          <w:szCs w:val="22"/>
        </w:rPr>
        <w:t xml:space="preserve"> percent</w:t>
      </w:r>
      <w:r w:rsidR="00024217">
        <w:rPr>
          <w:sz w:val="22"/>
          <w:szCs w:val="22"/>
        </w:rPr>
        <w:t>, respectively,</w:t>
      </w:r>
      <w:r w:rsidRPr="007B7021">
        <w:rPr>
          <w:sz w:val="22"/>
          <w:szCs w:val="22"/>
        </w:rPr>
        <w:t xml:space="preserve"> in the same amount of time.</w:t>
      </w:r>
      <w:r w:rsidRPr="007B7021">
        <w:rPr>
          <w:rStyle w:val="EndnoteReference"/>
          <w:sz w:val="22"/>
          <w:szCs w:val="22"/>
        </w:rPr>
        <w:endnoteReference w:id="1"/>
      </w:r>
    </w:p>
    <w:p w:rsidR="00C6747D" w:rsidRPr="007B7021" w:rsidRDefault="00C6747D" w:rsidP="00C6747D">
      <w:pPr>
        <w:pStyle w:val="ListParagraph"/>
        <w:numPr>
          <w:ilvl w:val="0"/>
          <w:numId w:val="1"/>
        </w:numPr>
        <w:contextualSpacing w:val="0"/>
        <w:rPr>
          <w:sz w:val="22"/>
          <w:szCs w:val="22"/>
        </w:rPr>
      </w:pPr>
      <w:r w:rsidRPr="007B7021">
        <w:rPr>
          <w:sz w:val="22"/>
          <w:szCs w:val="22"/>
        </w:rPr>
        <w:t>The annual cost to society from crashes involving Commercial Motor Vehicles (C</w:t>
      </w:r>
      <w:r w:rsidR="00024217">
        <w:rPr>
          <w:sz w:val="22"/>
          <w:szCs w:val="22"/>
        </w:rPr>
        <w:t>MVs) is estimated to be over $112</w:t>
      </w:r>
      <w:r w:rsidRPr="007B7021">
        <w:rPr>
          <w:sz w:val="22"/>
          <w:szCs w:val="22"/>
        </w:rPr>
        <w:t xml:space="preserve"> billion.</w:t>
      </w:r>
      <w:r w:rsidRPr="007B7021">
        <w:rPr>
          <w:rStyle w:val="EndnoteReference"/>
          <w:sz w:val="22"/>
          <w:szCs w:val="22"/>
        </w:rPr>
        <w:endnoteReference w:id="2"/>
      </w:r>
    </w:p>
    <w:p w:rsidR="00C6747D" w:rsidRPr="007B7021" w:rsidRDefault="00C6747D" w:rsidP="00C6747D">
      <w:pPr>
        <w:numPr>
          <w:ilvl w:val="0"/>
          <w:numId w:val="1"/>
        </w:numPr>
        <w:rPr>
          <w:sz w:val="22"/>
          <w:szCs w:val="22"/>
        </w:rPr>
      </w:pPr>
      <w:r w:rsidRPr="007B7021">
        <w:rPr>
          <w:sz w:val="22"/>
          <w:szCs w:val="22"/>
        </w:rPr>
        <w:t>Nearly all of the large multi-trailer combination trucks, as well as single unit trucks, examined in the 2000 Comprehensive Truck Size and Weight Study had worse roll stability,  and in some instances by wide margins, than the standard five-axle semitrailer combination loaded to 80,000 lbs.</w:t>
      </w:r>
      <w:r w:rsidRPr="007B7021">
        <w:rPr>
          <w:rStyle w:val="EndnoteReference"/>
          <w:sz w:val="22"/>
          <w:szCs w:val="22"/>
        </w:rPr>
        <w:endnoteReference w:id="3"/>
      </w:r>
    </w:p>
    <w:p w:rsidR="00C6747D" w:rsidRPr="007B7021" w:rsidRDefault="00C6747D" w:rsidP="00C6747D">
      <w:pPr>
        <w:numPr>
          <w:ilvl w:val="0"/>
          <w:numId w:val="1"/>
        </w:numPr>
        <w:rPr>
          <w:sz w:val="22"/>
          <w:szCs w:val="22"/>
        </w:rPr>
      </w:pPr>
      <w:r w:rsidRPr="007B7021">
        <w:rPr>
          <w:sz w:val="22"/>
          <w:szCs w:val="22"/>
        </w:rPr>
        <w:t>A study conducted by the Multimodal Transportation &amp; Infrastructure Consortium (MTIC) shows that double-tr</w:t>
      </w:r>
      <w:r w:rsidR="00C0737A" w:rsidRPr="007B7021">
        <w:rPr>
          <w:sz w:val="22"/>
          <w:szCs w:val="22"/>
        </w:rPr>
        <w:t>ailer configurations have a</w:t>
      </w:r>
      <w:r w:rsidR="00314B9C" w:rsidRPr="007B7021">
        <w:rPr>
          <w:sz w:val="22"/>
          <w:szCs w:val="22"/>
        </w:rPr>
        <w:t>n</w:t>
      </w:r>
      <w:r w:rsidR="00C0737A" w:rsidRPr="007B7021">
        <w:rPr>
          <w:sz w:val="22"/>
          <w:szCs w:val="22"/>
        </w:rPr>
        <w:t xml:space="preserve"> 11</w:t>
      </w:r>
      <w:r w:rsidRPr="007B7021">
        <w:rPr>
          <w:sz w:val="22"/>
          <w:szCs w:val="22"/>
        </w:rPr>
        <w:t xml:space="preserve"> percent higher fatal crash rate than single-trailer trucks.</w:t>
      </w:r>
      <w:r w:rsidRPr="007B7021">
        <w:rPr>
          <w:rStyle w:val="EndnoteReference"/>
          <w:sz w:val="22"/>
          <w:szCs w:val="22"/>
        </w:rPr>
        <w:endnoteReference w:id="4"/>
      </w:r>
    </w:p>
    <w:p w:rsidR="00C6747D" w:rsidRPr="007B7021" w:rsidRDefault="00C6747D" w:rsidP="00C6747D">
      <w:pPr>
        <w:ind w:right="-72"/>
        <w:rPr>
          <w:sz w:val="22"/>
          <w:szCs w:val="22"/>
        </w:rPr>
      </w:pPr>
    </w:p>
    <w:p w:rsidR="00C6747D" w:rsidRPr="007B7021" w:rsidRDefault="00C6747D" w:rsidP="00C6747D">
      <w:pPr>
        <w:rPr>
          <w:b/>
          <w:sz w:val="22"/>
          <w:szCs w:val="22"/>
        </w:rPr>
      </w:pPr>
      <w:r w:rsidRPr="007B7021">
        <w:rPr>
          <w:b/>
          <w:sz w:val="22"/>
          <w:szCs w:val="22"/>
        </w:rPr>
        <w:t>Longer Trucks Compromise Operating Characteristics</w:t>
      </w:r>
    </w:p>
    <w:p w:rsidR="00C6747D" w:rsidRPr="007B7021" w:rsidRDefault="00C6747D" w:rsidP="00C6747D">
      <w:pPr>
        <w:pStyle w:val="ListParagraph"/>
        <w:numPr>
          <w:ilvl w:val="0"/>
          <w:numId w:val="6"/>
        </w:numPr>
        <w:spacing w:after="200"/>
        <w:rPr>
          <w:sz w:val="22"/>
          <w:szCs w:val="22"/>
        </w:rPr>
      </w:pPr>
      <w:r w:rsidRPr="007B7021">
        <w:rPr>
          <w:sz w:val="22"/>
          <w:szCs w:val="22"/>
        </w:rPr>
        <w:t>As truck length increases, passing and merging become more difficult—increasing the odds of failure to pass.</w:t>
      </w:r>
      <w:r w:rsidRPr="007B7021">
        <w:rPr>
          <w:rStyle w:val="EndnoteReference"/>
          <w:sz w:val="22"/>
          <w:szCs w:val="22"/>
        </w:rPr>
        <w:endnoteReference w:id="5"/>
      </w:r>
      <w:r w:rsidRPr="007B7021">
        <w:rPr>
          <w:sz w:val="22"/>
          <w:szCs w:val="22"/>
        </w:rPr>
        <w:t xml:space="preserve"> </w:t>
      </w:r>
    </w:p>
    <w:p w:rsidR="00EE20DA" w:rsidRDefault="00C6747D" w:rsidP="00F64572">
      <w:pPr>
        <w:pStyle w:val="ListParagraph"/>
        <w:numPr>
          <w:ilvl w:val="0"/>
          <w:numId w:val="6"/>
        </w:numPr>
        <w:spacing w:after="200"/>
        <w:rPr>
          <w:sz w:val="22"/>
          <w:szCs w:val="22"/>
        </w:rPr>
      </w:pPr>
      <w:r w:rsidRPr="007B7021">
        <w:rPr>
          <w:sz w:val="22"/>
          <w:szCs w:val="22"/>
        </w:rPr>
        <w:t>Increasing 28-foot double-trailer trucks to 33-foot double-trailer trucks results in</w:t>
      </w:r>
      <w:r w:rsidR="00EE20DA">
        <w:rPr>
          <w:sz w:val="22"/>
          <w:szCs w:val="22"/>
        </w:rPr>
        <w:t>:</w:t>
      </w:r>
      <w:r w:rsidRPr="007B7021">
        <w:rPr>
          <w:sz w:val="22"/>
          <w:szCs w:val="22"/>
        </w:rPr>
        <w:t xml:space="preserve"> </w:t>
      </w:r>
    </w:p>
    <w:p w:rsidR="00EE20DA" w:rsidRDefault="00314B9C" w:rsidP="00EE20DA">
      <w:pPr>
        <w:pStyle w:val="ListParagraph"/>
        <w:numPr>
          <w:ilvl w:val="1"/>
          <w:numId w:val="6"/>
        </w:numPr>
        <w:spacing w:after="200"/>
        <w:rPr>
          <w:sz w:val="22"/>
          <w:szCs w:val="22"/>
        </w:rPr>
      </w:pPr>
      <w:r w:rsidRPr="007B7021">
        <w:rPr>
          <w:sz w:val="22"/>
          <w:szCs w:val="22"/>
        </w:rPr>
        <w:t xml:space="preserve">a 33% increase in low-speed off-tracking, and </w:t>
      </w:r>
    </w:p>
    <w:p w:rsidR="00EE20DA" w:rsidRDefault="00314B9C" w:rsidP="00EE20DA">
      <w:pPr>
        <w:pStyle w:val="ListParagraph"/>
        <w:numPr>
          <w:ilvl w:val="1"/>
          <w:numId w:val="6"/>
        </w:numPr>
        <w:spacing w:after="200"/>
        <w:rPr>
          <w:sz w:val="22"/>
          <w:szCs w:val="22"/>
        </w:rPr>
      </w:pPr>
      <w:proofErr w:type="spellStart"/>
      <w:proofErr w:type="gramStart"/>
      <w:r w:rsidRPr="007B7021">
        <w:rPr>
          <w:sz w:val="22"/>
          <w:szCs w:val="22"/>
        </w:rPr>
        <w:t>a</w:t>
      </w:r>
      <w:proofErr w:type="spellEnd"/>
      <w:proofErr w:type="gramEnd"/>
      <w:r w:rsidRPr="007B7021">
        <w:rPr>
          <w:sz w:val="22"/>
          <w:szCs w:val="22"/>
        </w:rPr>
        <w:t xml:space="preserve"> 22 feet longer stopping distance</w:t>
      </w:r>
      <w:r w:rsidR="00C6747D" w:rsidRPr="007B7021">
        <w:rPr>
          <w:sz w:val="22"/>
          <w:szCs w:val="22"/>
        </w:rPr>
        <w:t>.</w:t>
      </w:r>
      <w:r w:rsidRPr="007B7021">
        <w:rPr>
          <w:rStyle w:val="EndnoteReference"/>
          <w:sz w:val="22"/>
          <w:szCs w:val="22"/>
        </w:rPr>
        <w:endnoteReference w:id="6"/>
      </w:r>
      <w:r w:rsidR="00C6747D" w:rsidRPr="007B7021">
        <w:rPr>
          <w:sz w:val="22"/>
          <w:szCs w:val="22"/>
        </w:rPr>
        <w:t xml:space="preserve"> </w:t>
      </w:r>
    </w:p>
    <w:p w:rsidR="00C6747D" w:rsidRPr="007B7021" w:rsidRDefault="00C6747D" w:rsidP="00EE20DA">
      <w:pPr>
        <w:pStyle w:val="ListParagraph"/>
        <w:numPr>
          <w:ilvl w:val="1"/>
          <w:numId w:val="6"/>
        </w:numPr>
        <w:spacing w:after="200"/>
        <w:rPr>
          <w:sz w:val="22"/>
          <w:szCs w:val="22"/>
        </w:rPr>
      </w:pPr>
      <w:r w:rsidRPr="007B7021">
        <w:rPr>
          <w:sz w:val="22"/>
          <w:szCs w:val="22"/>
        </w:rPr>
        <w:t>This means greater hazards to pedestrians</w:t>
      </w:r>
      <w:r w:rsidR="00BB62C9">
        <w:rPr>
          <w:sz w:val="22"/>
          <w:szCs w:val="22"/>
        </w:rPr>
        <w:t>, bicyclists,</w:t>
      </w:r>
      <w:r w:rsidR="00646072">
        <w:rPr>
          <w:sz w:val="22"/>
          <w:szCs w:val="22"/>
        </w:rPr>
        <w:t xml:space="preserve"> motorcyclists,</w:t>
      </w:r>
      <w:r w:rsidRPr="007B7021">
        <w:rPr>
          <w:sz w:val="22"/>
          <w:szCs w:val="22"/>
        </w:rPr>
        <w:t xml:space="preserve"> and motorists in their path, as well a</w:t>
      </w:r>
      <w:r w:rsidR="00BB62C9">
        <w:rPr>
          <w:sz w:val="22"/>
          <w:szCs w:val="22"/>
        </w:rPr>
        <w:t>s more damage to infrastructure.</w:t>
      </w:r>
    </w:p>
    <w:p w:rsidR="00C6747D" w:rsidRPr="007B7021" w:rsidRDefault="00C6747D" w:rsidP="00C6747D">
      <w:pPr>
        <w:ind w:right="-72"/>
        <w:rPr>
          <w:b/>
          <w:sz w:val="22"/>
          <w:szCs w:val="22"/>
        </w:rPr>
      </w:pPr>
      <w:r w:rsidRPr="007B7021">
        <w:rPr>
          <w:b/>
          <w:sz w:val="22"/>
          <w:szCs w:val="22"/>
        </w:rPr>
        <w:t>Longer Trucks Will Cause More Damage to Our Fragile Infrastructure</w:t>
      </w:r>
    </w:p>
    <w:p w:rsidR="00C6747D" w:rsidRPr="007B7021" w:rsidRDefault="00C6747D" w:rsidP="00C6747D">
      <w:pPr>
        <w:numPr>
          <w:ilvl w:val="0"/>
          <w:numId w:val="3"/>
        </w:numPr>
        <w:ind w:right="-72"/>
        <w:rPr>
          <w:sz w:val="22"/>
          <w:szCs w:val="22"/>
        </w:rPr>
      </w:pPr>
      <w:r w:rsidRPr="007B7021">
        <w:rPr>
          <w:sz w:val="22"/>
          <w:szCs w:val="22"/>
        </w:rPr>
        <w:t>The Federal Highway Ad</w:t>
      </w:r>
      <w:r w:rsidR="00376868">
        <w:rPr>
          <w:sz w:val="22"/>
          <w:szCs w:val="22"/>
        </w:rPr>
        <w:t>ministration estimates that $143</w:t>
      </w:r>
      <w:r w:rsidRPr="007B7021">
        <w:rPr>
          <w:sz w:val="22"/>
          <w:szCs w:val="22"/>
        </w:rPr>
        <w:t xml:space="preserve"> billion in capital investment would be needed on an annual basis over the next 20 years to significantly improve conditions and performance.</w:t>
      </w:r>
      <w:r w:rsidRPr="007B7021">
        <w:rPr>
          <w:rStyle w:val="EndnoteReference"/>
          <w:sz w:val="22"/>
          <w:szCs w:val="22"/>
        </w:rPr>
        <w:endnoteReference w:id="7"/>
      </w:r>
    </w:p>
    <w:p w:rsidR="00C6747D" w:rsidRPr="007B7021" w:rsidRDefault="00C6747D" w:rsidP="00C6747D">
      <w:pPr>
        <w:numPr>
          <w:ilvl w:val="0"/>
          <w:numId w:val="3"/>
        </w:numPr>
        <w:ind w:right="-72"/>
        <w:rPr>
          <w:sz w:val="22"/>
          <w:szCs w:val="22"/>
        </w:rPr>
      </w:pPr>
      <w:r w:rsidRPr="007B7021">
        <w:rPr>
          <w:sz w:val="22"/>
          <w:szCs w:val="22"/>
        </w:rPr>
        <w:t>The American Society of Civil Engineers (ASCE) gave our nation a grade of D+ on our infrastructure.  Our roads were graded D and bridges, C+.</w:t>
      </w:r>
      <w:r w:rsidRPr="007B7021">
        <w:rPr>
          <w:rStyle w:val="EndnoteReference"/>
          <w:sz w:val="22"/>
          <w:szCs w:val="22"/>
        </w:rPr>
        <w:endnoteReference w:id="8"/>
      </w:r>
    </w:p>
    <w:p w:rsidR="00F64572" w:rsidRPr="007B7021" w:rsidRDefault="00F64572" w:rsidP="00C6747D">
      <w:pPr>
        <w:rPr>
          <w:b/>
          <w:sz w:val="22"/>
          <w:szCs w:val="22"/>
        </w:rPr>
      </w:pPr>
    </w:p>
    <w:p w:rsidR="00C6747D" w:rsidRPr="007B7021" w:rsidRDefault="00C6747D" w:rsidP="00C6747D">
      <w:pPr>
        <w:rPr>
          <w:b/>
          <w:sz w:val="22"/>
          <w:szCs w:val="22"/>
        </w:rPr>
      </w:pPr>
      <w:r w:rsidRPr="007B7021">
        <w:rPr>
          <w:b/>
          <w:sz w:val="22"/>
          <w:szCs w:val="22"/>
        </w:rPr>
        <w:t>Longer Trucks Will Result in Increased Costs to Tax Payers</w:t>
      </w:r>
    </w:p>
    <w:p w:rsidR="00C6747D" w:rsidRPr="007B7021" w:rsidRDefault="00C6747D" w:rsidP="00C6747D">
      <w:pPr>
        <w:pStyle w:val="ListParagraph"/>
        <w:numPr>
          <w:ilvl w:val="0"/>
          <w:numId w:val="2"/>
        </w:numPr>
        <w:rPr>
          <w:rFonts w:eastAsia="Cambria"/>
          <w:sz w:val="22"/>
          <w:szCs w:val="22"/>
        </w:rPr>
      </w:pPr>
      <w:r w:rsidRPr="007B7021">
        <w:rPr>
          <w:rFonts w:eastAsia="Cambria"/>
          <w:sz w:val="22"/>
          <w:szCs w:val="22"/>
        </w:rPr>
        <w:t>Unintended Costs Will Result from Longer Trucks</w:t>
      </w:r>
    </w:p>
    <w:p w:rsidR="00C6747D" w:rsidRPr="007B7021" w:rsidRDefault="00C6747D" w:rsidP="00C6747D">
      <w:pPr>
        <w:pStyle w:val="ListParagraph"/>
        <w:numPr>
          <w:ilvl w:val="1"/>
          <w:numId w:val="2"/>
        </w:numPr>
        <w:rPr>
          <w:sz w:val="22"/>
          <w:szCs w:val="22"/>
        </w:rPr>
      </w:pPr>
      <w:r w:rsidRPr="00376868">
        <w:rPr>
          <w:sz w:val="22"/>
          <w:szCs w:val="22"/>
        </w:rPr>
        <w:t xml:space="preserve">Highway hardware </w:t>
      </w:r>
      <w:r w:rsidRPr="00376868">
        <w:rPr>
          <w:b/>
          <w:sz w:val="22"/>
          <w:szCs w:val="22"/>
        </w:rPr>
        <w:t>-</w:t>
      </w:r>
      <w:r w:rsidRPr="007B7021">
        <w:rPr>
          <w:sz w:val="22"/>
          <w:szCs w:val="22"/>
        </w:rPr>
        <w:t xml:space="preserve">  costs to assess guard rails, crash pads, rail crossings, etc. and the costs for replacement when assessment determines the hardware is insufficient;</w:t>
      </w:r>
    </w:p>
    <w:p w:rsidR="00C6747D" w:rsidRPr="007B7021" w:rsidRDefault="00C6747D" w:rsidP="00C6747D">
      <w:pPr>
        <w:pStyle w:val="ListParagraph"/>
        <w:numPr>
          <w:ilvl w:val="1"/>
          <w:numId w:val="2"/>
        </w:numPr>
        <w:rPr>
          <w:sz w:val="22"/>
          <w:szCs w:val="22"/>
        </w:rPr>
      </w:pPr>
      <w:r w:rsidRPr="00376868">
        <w:rPr>
          <w:sz w:val="22"/>
          <w:szCs w:val="22"/>
        </w:rPr>
        <w:t xml:space="preserve">Accessory infrastructure </w:t>
      </w:r>
      <w:r w:rsidRPr="00376868">
        <w:rPr>
          <w:b/>
          <w:sz w:val="22"/>
          <w:szCs w:val="22"/>
        </w:rPr>
        <w:t>-</w:t>
      </w:r>
      <w:r w:rsidRPr="007B7021">
        <w:rPr>
          <w:sz w:val="22"/>
          <w:szCs w:val="22"/>
        </w:rPr>
        <w:t xml:space="preserve">  costs to assess bridge</w:t>
      </w:r>
      <w:r w:rsidR="00BB62C9">
        <w:rPr>
          <w:sz w:val="22"/>
          <w:szCs w:val="22"/>
        </w:rPr>
        <w:t xml:space="preserve"> </w:t>
      </w:r>
      <w:r w:rsidRPr="007B7021">
        <w:rPr>
          <w:sz w:val="22"/>
          <w:szCs w:val="22"/>
        </w:rPr>
        <w:t xml:space="preserve">and roadway ratings and capacity, to produce and install signs and warnings, to make improvements to accommodate larger trucks, to repair pavement torsion caused by non-steering axles (also called tire scrubbing), and to maintain roadway and bridge infrastructure at increased rates of wear and damage; </w:t>
      </w:r>
    </w:p>
    <w:p w:rsidR="00C6747D" w:rsidRPr="007B7021" w:rsidRDefault="00C6747D" w:rsidP="00C6747D">
      <w:pPr>
        <w:pStyle w:val="ListParagraph"/>
        <w:numPr>
          <w:ilvl w:val="1"/>
          <w:numId w:val="2"/>
        </w:numPr>
        <w:rPr>
          <w:sz w:val="22"/>
          <w:szCs w:val="22"/>
        </w:rPr>
      </w:pPr>
      <w:r w:rsidRPr="00376868">
        <w:rPr>
          <w:sz w:val="22"/>
          <w:szCs w:val="22"/>
        </w:rPr>
        <w:lastRenderedPageBreak/>
        <w:t>Truck facilities</w:t>
      </w:r>
      <w:r w:rsidRPr="00376868">
        <w:rPr>
          <w:b/>
          <w:sz w:val="22"/>
          <w:szCs w:val="22"/>
        </w:rPr>
        <w:t xml:space="preserve"> -</w:t>
      </w:r>
      <w:r w:rsidRPr="007B7021">
        <w:rPr>
          <w:b/>
          <w:sz w:val="22"/>
          <w:szCs w:val="22"/>
        </w:rPr>
        <w:t xml:space="preserve"> </w:t>
      </w:r>
      <w:r w:rsidRPr="007B7021">
        <w:rPr>
          <w:sz w:val="22"/>
          <w:szCs w:val="22"/>
        </w:rPr>
        <w:t>cost for improvements necessary to accommodate larger trucks, new or modified weight scales, new and modified parking and fuel facilities.</w:t>
      </w:r>
    </w:p>
    <w:p w:rsidR="00C6747D" w:rsidRPr="007B7021" w:rsidRDefault="00C6747D" w:rsidP="00C6747D">
      <w:pPr>
        <w:pStyle w:val="ListParagraph"/>
        <w:numPr>
          <w:ilvl w:val="0"/>
          <w:numId w:val="2"/>
        </w:numPr>
        <w:rPr>
          <w:sz w:val="22"/>
          <w:szCs w:val="22"/>
        </w:rPr>
      </w:pPr>
      <w:r w:rsidRPr="007B7021">
        <w:rPr>
          <w:sz w:val="22"/>
          <w:szCs w:val="22"/>
        </w:rPr>
        <w:t xml:space="preserve">According to the 2007 </w:t>
      </w:r>
      <w:r w:rsidRPr="00646072">
        <w:rPr>
          <w:i/>
          <w:sz w:val="22"/>
          <w:szCs w:val="22"/>
        </w:rPr>
        <w:t>Transportation for Tomorrow</w:t>
      </w:r>
      <w:r w:rsidRPr="007B7021">
        <w:rPr>
          <w:sz w:val="22"/>
          <w:szCs w:val="22"/>
        </w:rPr>
        <w:t xml:space="preserve"> report, mandated by Congress, heavy trucks </w:t>
      </w:r>
      <w:r w:rsidR="003C24EF">
        <w:rPr>
          <w:sz w:val="22"/>
          <w:szCs w:val="22"/>
        </w:rPr>
        <w:t xml:space="preserve">are </w:t>
      </w:r>
      <w:r w:rsidRPr="007B7021">
        <w:rPr>
          <w:sz w:val="22"/>
          <w:szCs w:val="22"/>
        </w:rPr>
        <w:t>underpaying their fair share for highway use. The report also found that user fee fairness could be achieved through weight-distance taxes and heavy trucks should pay an infras</w:t>
      </w:r>
      <w:r w:rsidR="00B536CA" w:rsidRPr="007B7021">
        <w:rPr>
          <w:sz w:val="22"/>
          <w:szCs w:val="22"/>
        </w:rPr>
        <w:t>tructure damage fee. Moreover, H</w:t>
      </w:r>
      <w:r w:rsidR="00376868">
        <w:rPr>
          <w:sz w:val="22"/>
          <w:szCs w:val="22"/>
        </w:rPr>
        <w:t xml:space="preserve">eavy Vehicle Use Tax, </w:t>
      </w:r>
      <w:r w:rsidRPr="007B7021">
        <w:rPr>
          <w:sz w:val="22"/>
          <w:szCs w:val="22"/>
        </w:rPr>
        <w:t>which only contributes $1 billion annually to the Highway Trust Fund—had not been changed since the early 1980s.</w:t>
      </w:r>
      <w:r w:rsidRPr="007B7021">
        <w:rPr>
          <w:rStyle w:val="EndnoteReference"/>
          <w:sz w:val="22"/>
          <w:szCs w:val="22"/>
        </w:rPr>
        <w:endnoteReference w:id="9"/>
      </w:r>
    </w:p>
    <w:p w:rsidR="00C6747D" w:rsidRPr="007B7021" w:rsidRDefault="00C6747D" w:rsidP="00C6747D">
      <w:pPr>
        <w:pStyle w:val="Default"/>
        <w:rPr>
          <w:sz w:val="22"/>
          <w:szCs w:val="22"/>
        </w:rPr>
      </w:pPr>
    </w:p>
    <w:p w:rsidR="0015365C" w:rsidRPr="007B7021" w:rsidRDefault="0015365C" w:rsidP="0015365C">
      <w:pPr>
        <w:rPr>
          <w:b/>
          <w:bCs/>
          <w:sz w:val="22"/>
          <w:szCs w:val="22"/>
        </w:rPr>
      </w:pPr>
      <w:r w:rsidRPr="007B7021">
        <w:rPr>
          <w:b/>
          <w:bCs/>
          <w:sz w:val="22"/>
          <w:szCs w:val="22"/>
        </w:rPr>
        <w:t xml:space="preserve">Longer Doubles are </w:t>
      </w:r>
      <w:proofErr w:type="gramStart"/>
      <w:r w:rsidRPr="007B7021">
        <w:rPr>
          <w:b/>
          <w:bCs/>
          <w:sz w:val="22"/>
          <w:szCs w:val="22"/>
        </w:rPr>
        <w:t>Premised</w:t>
      </w:r>
      <w:proofErr w:type="gramEnd"/>
      <w:r w:rsidRPr="007B7021">
        <w:rPr>
          <w:b/>
          <w:bCs/>
          <w:sz w:val="22"/>
          <w:szCs w:val="22"/>
        </w:rPr>
        <w:t xml:space="preserve"> on “Junk Science” and Flawed Analysis Conducted by Industry-Funded Research</w:t>
      </w:r>
    </w:p>
    <w:p w:rsidR="0015365C" w:rsidRPr="007B7021" w:rsidRDefault="0015365C" w:rsidP="0015365C">
      <w:pPr>
        <w:rPr>
          <w:b/>
          <w:bCs/>
          <w:sz w:val="22"/>
          <w:szCs w:val="22"/>
        </w:rPr>
      </w:pPr>
    </w:p>
    <w:p w:rsidR="0015365C" w:rsidRPr="007B7021" w:rsidRDefault="0015365C" w:rsidP="0015365C">
      <w:pPr>
        <w:numPr>
          <w:ilvl w:val="0"/>
          <w:numId w:val="10"/>
        </w:numPr>
        <w:rPr>
          <w:sz w:val="22"/>
          <w:szCs w:val="22"/>
        </w:rPr>
      </w:pPr>
      <w:r w:rsidRPr="007B7021">
        <w:rPr>
          <w:sz w:val="22"/>
          <w:szCs w:val="22"/>
        </w:rPr>
        <w:t xml:space="preserve">The </w:t>
      </w:r>
      <w:proofErr w:type="spellStart"/>
      <w:r w:rsidRPr="007B7021">
        <w:rPr>
          <w:sz w:val="22"/>
          <w:szCs w:val="22"/>
        </w:rPr>
        <w:t>Woodrooffe</w:t>
      </w:r>
      <w:proofErr w:type="spellEnd"/>
      <w:r w:rsidRPr="007B7021">
        <w:rPr>
          <w:sz w:val="22"/>
          <w:szCs w:val="22"/>
        </w:rPr>
        <w:t xml:space="preserve"> study,</w:t>
      </w:r>
      <w:r w:rsidRPr="007B7021">
        <w:rPr>
          <w:rStyle w:val="EndnoteReference"/>
          <w:sz w:val="22"/>
          <w:szCs w:val="22"/>
        </w:rPr>
        <w:endnoteReference w:id="10"/>
      </w:r>
      <w:r w:rsidRPr="007B7021">
        <w:rPr>
          <w:sz w:val="22"/>
          <w:szCs w:val="22"/>
        </w:rPr>
        <w:t xml:space="preserve"> on which many of the safety and efficiency claims for double 33s are based, was produced under contract to Federal Express (FedEx) and </w:t>
      </w:r>
      <w:proofErr w:type="spellStart"/>
      <w:r w:rsidRPr="007B7021">
        <w:rPr>
          <w:sz w:val="22"/>
          <w:szCs w:val="22"/>
        </w:rPr>
        <w:t>ConWay</w:t>
      </w:r>
      <w:proofErr w:type="spellEnd"/>
      <w:r w:rsidRPr="007B7021">
        <w:rPr>
          <w:sz w:val="22"/>
          <w:szCs w:val="22"/>
        </w:rPr>
        <w:t>. It contains three serious flaws:</w:t>
      </w:r>
    </w:p>
    <w:p w:rsidR="0015365C" w:rsidRPr="007B7021" w:rsidRDefault="0015365C" w:rsidP="0015365C">
      <w:pPr>
        <w:numPr>
          <w:ilvl w:val="0"/>
          <w:numId w:val="11"/>
        </w:numPr>
        <w:rPr>
          <w:sz w:val="22"/>
          <w:szCs w:val="22"/>
        </w:rPr>
      </w:pPr>
      <w:r w:rsidRPr="007B7021">
        <w:rPr>
          <w:sz w:val="22"/>
          <w:szCs w:val="22"/>
        </w:rPr>
        <w:t>It makes the spurious assumption that two trailers of different lengths (28 v 33 feet) would both be filled to equal weights despite carrying different volumes of freight;</w:t>
      </w:r>
    </w:p>
    <w:p w:rsidR="0015365C" w:rsidRPr="007B7021" w:rsidRDefault="0015365C" w:rsidP="0015365C">
      <w:pPr>
        <w:numPr>
          <w:ilvl w:val="0"/>
          <w:numId w:val="11"/>
        </w:numPr>
        <w:rPr>
          <w:sz w:val="22"/>
          <w:szCs w:val="22"/>
        </w:rPr>
      </w:pPr>
      <w:r w:rsidRPr="007B7021">
        <w:rPr>
          <w:sz w:val="22"/>
          <w:szCs w:val="22"/>
        </w:rPr>
        <w:t>It ignores the fact that 33 foot trailers would weigh more when empty than 28 foot trailers, which would decrease the calculated efficiency estimates on those portions of trips when operating below capacity or empty; and,</w:t>
      </w:r>
    </w:p>
    <w:p w:rsidR="0015365C" w:rsidRPr="007B7021" w:rsidRDefault="0015365C" w:rsidP="0015365C">
      <w:pPr>
        <w:numPr>
          <w:ilvl w:val="0"/>
          <w:numId w:val="11"/>
        </w:numPr>
        <w:rPr>
          <w:sz w:val="22"/>
          <w:szCs w:val="22"/>
        </w:rPr>
      </w:pPr>
      <w:r w:rsidRPr="007B7021">
        <w:rPr>
          <w:sz w:val="22"/>
          <w:szCs w:val="22"/>
        </w:rPr>
        <w:t>It miscalculates the comparative increase in payload (volume) of 33 foot trailers as compared to 28 foot trailers.</w:t>
      </w:r>
    </w:p>
    <w:p w:rsidR="0015365C" w:rsidRPr="007B7021" w:rsidRDefault="0015365C" w:rsidP="00C6747D">
      <w:pPr>
        <w:rPr>
          <w:b/>
          <w:sz w:val="22"/>
          <w:szCs w:val="22"/>
        </w:rPr>
      </w:pPr>
    </w:p>
    <w:p w:rsidR="00C6747D" w:rsidRPr="007B7021" w:rsidRDefault="00C6747D" w:rsidP="00C6747D">
      <w:pPr>
        <w:rPr>
          <w:b/>
          <w:sz w:val="22"/>
          <w:szCs w:val="22"/>
        </w:rPr>
      </w:pPr>
      <w:r w:rsidRPr="007B7021">
        <w:rPr>
          <w:b/>
          <w:sz w:val="22"/>
          <w:szCs w:val="22"/>
        </w:rPr>
        <w:t>Both Law Enforcement Officers and Truck Drivers Consider Longer Trucks More Dangerous</w:t>
      </w:r>
    </w:p>
    <w:p w:rsidR="00C6747D" w:rsidRPr="007B7021" w:rsidRDefault="00C6747D" w:rsidP="00C6747D">
      <w:pPr>
        <w:pStyle w:val="ListParagraph"/>
        <w:numPr>
          <w:ilvl w:val="0"/>
          <w:numId w:val="4"/>
        </w:numPr>
        <w:rPr>
          <w:b/>
          <w:sz w:val="22"/>
          <w:szCs w:val="22"/>
        </w:rPr>
      </w:pPr>
      <w:r w:rsidRPr="007B7021">
        <w:rPr>
          <w:sz w:val="22"/>
          <w:szCs w:val="22"/>
        </w:rPr>
        <w:t xml:space="preserve">In the MTIC study, 21 Officers were interviewed and 20 officers indicated </w:t>
      </w:r>
      <w:r w:rsidR="00594D6A" w:rsidRPr="007B7021">
        <w:rPr>
          <w:sz w:val="22"/>
          <w:szCs w:val="22"/>
        </w:rPr>
        <w:t>“</w:t>
      </w:r>
      <w:r w:rsidRPr="007B7021">
        <w:rPr>
          <w:sz w:val="22"/>
          <w:szCs w:val="22"/>
        </w:rPr>
        <w:t>that long</w:t>
      </w:r>
      <w:r w:rsidR="00594D6A" w:rsidRPr="007B7021">
        <w:rPr>
          <w:sz w:val="22"/>
          <w:szCs w:val="22"/>
        </w:rPr>
        <w:t>er and heavier trucks would be ‘more dangerous’</w:t>
      </w:r>
      <w:r w:rsidRPr="007B7021">
        <w:rPr>
          <w:sz w:val="22"/>
          <w:szCs w:val="22"/>
        </w:rPr>
        <w:t xml:space="preserve"> because the additional length and weight would a</w:t>
      </w:r>
      <w:r w:rsidR="00594D6A" w:rsidRPr="007B7021">
        <w:rPr>
          <w:sz w:val="22"/>
          <w:szCs w:val="22"/>
        </w:rPr>
        <w:t xml:space="preserve">dd </w:t>
      </w:r>
      <w:r w:rsidRPr="007B7021">
        <w:rPr>
          <w:sz w:val="22"/>
          <w:szCs w:val="22"/>
        </w:rPr>
        <w:t>new factors to an alrea</w:t>
      </w:r>
      <w:r w:rsidR="00594D6A" w:rsidRPr="007B7021">
        <w:rPr>
          <w:sz w:val="22"/>
          <w:szCs w:val="22"/>
        </w:rPr>
        <w:t>dy complicated chain of events.”</w:t>
      </w:r>
      <w:r w:rsidRPr="007B7021">
        <w:rPr>
          <w:rStyle w:val="EndnoteReference"/>
          <w:sz w:val="22"/>
          <w:szCs w:val="22"/>
        </w:rPr>
        <w:endnoteReference w:id="11"/>
      </w:r>
    </w:p>
    <w:p w:rsidR="00C6747D" w:rsidRPr="007B7021" w:rsidRDefault="00C6747D" w:rsidP="00C6747D">
      <w:pPr>
        <w:pStyle w:val="ListParagraph"/>
        <w:numPr>
          <w:ilvl w:val="0"/>
          <w:numId w:val="4"/>
        </w:numPr>
        <w:rPr>
          <w:b/>
          <w:sz w:val="22"/>
          <w:szCs w:val="22"/>
        </w:rPr>
      </w:pPr>
      <w:r w:rsidRPr="007B7021">
        <w:rPr>
          <w:sz w:val="22"/>
          <w:szCs w:val="22"/>
        </w:rPr>
        <w:t>Likewise, surveyed truck drivers are consistent in their opinion that heavier and/or longer trucks impact safety. Eighty-eight percent believed that a higher use of longer combination vehicles (LCVs) would negatively impact highway safety.</w:t>
      </w:r>
      <w:r w:rsidRPr="007B7021">
        <w:rPr>
          <w:rStyle w:val="EndnoteReference"/>
          <w:sz w:val="22"/>
          <w:szCs w:val="22"/>
        </w:rPr>
        <w:endnoteReference w:id="12"/>
      </w:r>
    </w:p>
    <w:p w:rsidR="00213D6F" w:rsidRPr="007B7021" w:rsidRDefault="00213D6F" w:rsidP="00EE20DA">
      <w:pPr>
        <w:rPr>
          <w:sz w:val="22"/>
          <w:szCs w:val="22"/>
        </w:rPr>
      </w:pPr>
    </w:p>
    <w:sectPr w:rsidR="00213D6F" w:rsidRPr="007B7021" w:rsidSect="00C6594B">
      <w:headerReference w:type="even" r:id="rId8"/>
      <w:headerReference w:type="default" r:id="rId9"/>
      <w:footerReference w:type="even" r:id="rId10"/>
      <w:footerReference w:type="default" r:id="rId11"/>
      <w:headerReference w:type="first" r:id="rId12"/>
      <w:footerReference w:type="first" r:id="rId13"/>
      <w:pgSz w:w="12240" w:h="15840"/>
      <w:pgMar w:top="1080" w:right="720" w:bottom="720" w:left="72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EB" w:rsidRDefault="002063EB" w:rsidP="00A919B7">
      <w:r>
        <w:separator/>
      </w:r>
    </w:p>
  </w:endnote>
  <w:endnote w:type="continuationSeparator" w:id="0">
    <w:p w:rsidR="002063EB" w:rsidRDefault="002063EB" w:rsidP="00A919B7">
      <w:r>
        <w:continuationSeparator/>
      </w:r>
    </w:p>
  </w:endnote>
  <w:endnote w:id="1">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w:t>
      </w:r>
      <w:r w:rsidR="00024217" w:rsidRPr="00024217">
        <w:rPr>
          <w:sz w:val="15"/>
          <w:szCs w:val="15"/>
        </w:rPr>
        <w:t>Large Truck and Bus Crash Facts 2015, FMCSA-RRA-16-021, FMCSA (Nov., 2016); FARS; NASS GES</w:t>
      </w:r>
    </w:p>
  </w:endnote>
  <w:endnote w:id="2">
    <w:p w:rsidR="00C6747D" w:rsidRPr="007B7021" w:rsidRDefault="00C6747D" w:rsidP="00C6747D">
      <w:pPr>
        <w:pStyle w:val="FootnoteText"/>
        <w:rPr>
          <w:sz w:val="15"/>
          <w:szCs w:val="15"/>
        </w:rPr>
      </w:pPr>
      <w:r w:rsidRPr="007B7021">
        <w:rPr>
          <w:rStyle w:val="EndnoteReference"/>
          <w:sz w:val="15"/>
          <w:szCs w:val="15"/>
        </w:rPr>
        <w:endnoteRef/>
      </w:r>
      <w:r w:rsidRPr="007B7021">
        <w:rPr>
          <w:sz w:val="15"/>
          <w:szCs w:val="15"/>
        </w:rPr>
        <w:t xml:space="preserve"> </w:t>
      </w:r>
      <w:r w:rsidR="00024217">
        <w:rPr>
          <w:sz w:val="15"/>
          <w:szCs w:val="15"/>
        </w:rPr>
        <w:t>2016</w:t>
      </w:r>
      <w:r w:rsidR="00B536CA" w:rsidRPr="007B7021">
        <w:rPr>
          <w:sz w:val="15"/>
          <w:szCs w:val="15"/>
        </w:rPr>
        <w:t xml:space="preserve"> Pocket Guide to Large Truck and Bus S</w:t>
      </w:r>
      <w:r w:rsidR="00024217">
        <w:rPr>
          <w:sz w:val="15"/>
          <w:szCs w:val="15"/>
        </w:rPr>
        <w:t>tatistics: Update May 2016</w:t>
      </w:r>
      <w:r w:rsidR="00B536CA" w:rsidRPr="007B7021">
        <w:rPr>
          <w:sz w:val="15"/>
          <w:szCs w:val="15"/>
        </w:rPr>
        <w:t xml:space="preserve">, FMCSA, available at </w:t>
      </w:r>
      <w:hyperlink r:id="rId1" w:history="1">
        <w:r w:rsidR="00557381" w:rsidRPr="00801227">
          <w:rPr>
            <w:rStyle w:val="Hyperlink"/>
            <w:sz w:val="15"/>
            <w:szCs w:val="15"/>
          </w:rPr>
          <w:t>http://ntl.bts.gov/lib/59000/59100/59189/2016_Pocket_Guide_to_Large_Truck_and_Bus_Statistics.pdf</w:t>
        </w:r>
      </w:hyperlink>
      <w:r w:rsidR="00557381">
        <w:rPr>
          <w:sz w:val="15"/>
          <w:szCs w:val="15"/>
        </w:rPr>
        <w:t xml:space="preserve"> </w:t>
      </w:r>
    </w:p>
  </w:endnote>
  <w:endnote w:id="3">
    <w:p w:rsidR="00C6747D" w:rsidRPr="007B7021" w:rsidRDefault="00C6747D" w:rsidP="00C6747D">
      <w:pPr>
        <w:pStyle w:val="FootnoteText"/>
        <w:ind w:left="180" w:hanging="180"/>
        <w:rPr>
          <w:sz w:val="15"/>
          <w:szCs w:val="15"/>
        </w:rPr>
      </w:pPr>
      <w:r w:rsidRPr="007B7021">
        <w:rPr>
          <w:rStyle w:val="EndnoteReference"/>
          <w:sz w:val="15"/>
          <w:szCs w:val="15"/>
        </w:rPr>
        <w:endnoteRef/>
      </w:r>
      <w:r w:rsidRPr="007B7021">
        <w:rPr>
          <w:sz w:val="15"/>
          <w:szCs w:val="15"/>
        </w:rPr>
        <w:t xml:space="preserve"> Comprehensive Truck Size and Weight, US DOT, Aug. 2000, Vol. 3, Chapter 8, p. VIII-12, http://www.fhwa.dot.gov/reports/tswstudy/Vol3-Chapter8.pdf</w:t>
      </w:r>
    </w:p>
  </w:endnote>
  <w:endnote w:id="4">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Multimodal Transportation &amp; Infrastructure Consortium (November 21, 2013). “An Analysis of Truck Size and Weight: Phase I – Safety,” Executive Summary, available at </w:t>
      </w:r>
      <w:hyperlink r:id="rId2" w:history="1">
        <w:r w:rsidR="00C0737A" w:rsidRPr="007B7021">
          <w:rPr>
            <w:rStyle w:val="Hyperlink"/>
            <w:sz w:val="15"/>
            <w:szCs w:val="15"/>
          </w:rPr>
          <w:t>http://www.mticutc.org/assets/pdf/An_Analysis_of_Truck_Size_and_Weight_-_MTIC_Logo.pdf</w:t>
        </w:r>
      </w:hyperlink>
      <w:r w:rsidRPr="007B7021">
        <w:rPr>
          <w:rStyle w:val="Hyperlink"/>
          <w:sz w:val="15"/>
          <w:szCs w:val="15"/>
        </w:rPr>
        <w:t>.</w:t>
      </w:r>
      <w:r w:rsidR="00C0737A" w:rsidRPr="007B7021">
        <w:rPr>
          <w:rStyle w:val="Hyperlink"/>
          <w:sz w:val="15"/>
          <w:szCs w:val="15"/>
        </w:rPr>
        <w:t xml:space="preserve"> ; </w:t>
      </w:r>
      <w:r w:rsidR="00C0737A" w:rsidRPr="007B7021">
        <w:rPr>
          <w:sz w:val="15"/>
          <w:szCs w:val="15"/>
        </w:rPr>
        <w:t>Memorandum from J. Matthews, Rahall Appalachian Transportation Institute, Sep. 29, 2014</w:t>
      </w:r>
    </w:p>
  </w:endnote>
  <w:endnote w:id="5">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Hanley, P. F. and D. J. </w:t>
      </w:r>
      <w:proofErr w:type="spellStart"/>
      <w:r w:rsidRPr="007B7021">
        <w:rPr>
          <w:sz w:val="15"/>
          <w:szCs w:val="15"/>
        </w:rPr>
        <w:t>Forkenbrock</w:t>
      </w:r>
      <w:proofErr w:type="spellEnd"/>
      <w:r w:rsidRPr="007B7021">
        <w:rPr>
          <w:sz w:val="15"/>
          <w:szCs w:val="15"/>
        </w:rPr>
        <w:t xml:space="preserve"> (2005). "Safety of passing longer combination vehicles on two-lane highways." Transportation research.</w:t>
      </w:r>
    </w:p>
  </w:endnote>
  <w:endnote w:id="6">
    <w:p w:rsidR="00314B9C" w:rsidRPr="007B7021" w:rsidRDefault="00314B9C">
      <w:pPr>
        <w:pStyle w:val="EndnoteText"/>
        <w:rPr>
          <w:sz w:val="15"/>
          <w:szCs w:val="15"/>
        </w:rPr>
      </w:pPr>
      <w:r w:rsidRPr="007B7021">
        <w:rPr>
          <w:rStyle w:val="EndnoteReference"/>
          <w:sz w:val="15"/>
          <w:szCs w:val="15"/>
        </w:rPr>
        <w:endnoteRef/>
      </w:r>
      <w:r w:rsidRPr="007B7021">
        <w:rPr>
          <w:sz w:val="15"/>
          <w:szCs w:val="15"/>
        </w:rPr>
        <w:t xml:space="preserve"> Technical Reports, MAP-21 Comprehensive Truck Size &amp; Weight Limits Study, FHWA, June 2014, available at http://ops.fhwa.dot.gov/freight/sw/map21tswstudy/technical_rpts/vol1technicalsummary.pdf</w:t>
      </w:r>
    </w:p>
  </w:endnote>
  <w:endnote w:id="7">
    <w:p w:rsidR="00C6747D" w:rsidRPr="007B7021" w:rsidRDefault="00C6747D" w:rsidP="00C6747D">
      <w:pPr>
        <w:pStyle w:val="EndnoteText"/>
        <w:rPr>
          <w:sz w:val="15"/>
          <w:szCs w:val="15"/>
        </w:rPr>
      </w:pPr>
      <w:r w:rsidRPr="007B7021">
        <w:rPr>
          <w:rStyle w:val="EndnoteReference"/>
          <w:sz w:val="15"/>
          <w:szCs w:val="15"/>
        </w:rPr>
        <w:endnoteRef/>
      </w:r>
      <w:r w:rsidR="00376868">
        <w:rPr>
          <w:sz w:val="15"/>
          <w:szCs w:val="15"/>
        </w:rPr>
        <w:t xml:space="preserve"> 2015</w:t>
      </w:r>
      <w:r w:rsidRPr="007B7021">
        <w:rPr>
          <w:sz w:val="15"/>
          <w:szCs w:val="15"/>
        </w:rPr>
        <w:t xml:space="preserve"> Status of the Nation’s Highways, Bridges, and Transit: Conditions and P</w:t>
      </w:r>
      <w:r w:rsidR="00376868">
        <w:rPr>
          <w:sz w:val="15"/>
          <w:szCs w:val="15"/>
        </w:rPr>
        <w:t>erformance, Chapter 8, FHWA 2015</w:t>
      </w:r>
      <w:r w:rsidRPr="007B7021">
        <w:rPr>
          <w:sz w:val="15"/>
          <w:szCs w:val="15"/>
        </w:rPr>
        <w:t>, available at http://ww</w:t>
      </w:r>
      <w:r w:rsidR="00376868">
        <w:rPr>
          <w:sz w:val="15"/>
          <w:szCs w:val="15"/>
        </w:rPr>
        <w:t>w.fhwa.dot.gov/policy/2015cpr</w:t>
      </w:r>
    </w:p>
  </w:endnote>
  <w:endnote w:id="8">
    <w:p w:rsidR="00C6747D" w:rsidRPr="007B7021" w:rsidRDefault="00C6747D" w:rsidP="00C6747D">
      <w:pPr>
        <w:pStyle w:val="FootnoteText"/>
        <w:ind w:left="180" w:hanging="180"/>
        <w:rPr>
          <w:sz w:val="15"/>
          <w:szCs w:val="15"/>
        </w:rPr>
      </w:pPr>
      <w:r w:rsidRPr="007B7021">
        <w:rPr>
          <w:rStyle w:val="EndnoteReference"/>
          <w:sz w:val="15"/>
          <w:szCs w:val="15"/>
        </w:rPr>
        <w:endnoteRef/>
      </w:r>
      <w:r w:rsidRPr="007B7021">
        <w:rPr>
          <w:sz w:val="15"/>
          <w:szCs w:val="15"/>
        </w:rPr>
        <w:t xml:space="preserve"> </w:t>
      </w:r>
      <w:r w:rsidR="00EE20DA">
        <w:rPr>
          <w:sz w:val="15"/>
          <w:szCs w:val="15"/>
        </w:rPr>
        <w:t>ASCE Report Card for America’s Infrastructure 2017</w:t>
      </w:r>
    </w:p>
  </w:endnote>
  <w:endnote w:id="9">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Report of the National Surface Transportation Policy and Revenue Study Commission, Transportation for Tomorrow, Dec. 2007, available at http://www.transportationfortomorrow.com_report/pdf/final_report.pdf</w:t>
      </w:r>
    </w:p>
  </w:endnote>
  <w:endnote w:id="10">
    <w:p w:rsidR="0015365C" w:rsidRPr="007B7021" w:rsidRDefault="0015365C">
      <w:pPr>
        <w:pStyle w:val="EndnoteText"/>
        <w:rPr>
          <w:sz w:val="15"/>
          <w:szCs w:val="15"/>
        </w:rPr>
      </w:pPr>
      <w:r w:rsidRPr="007B7021">
        <w:rPr>
          <w:rStyle w:val="EndnoteReference"/>
          <w:sz w:val="15"/>
          <w:szCs w:val="15"/>
        </w:rPr>
        <w:endnoteRef/>
      </w:r>
      <w:r w:rsidRPr="007B7021">
        <w:rPr>
          <w:sz w:val="15"/>
          <w:szCs w:val="15"/>
        </w:rPr>
        <w:t xml:space="preserve"> </w:t>
      </w:r>
      <w:proofErr w:type="spellStart"/>
      <w:r w:rsidRPr="007B7021">
        <w:rPr>
          <w:sz w:val="15"/>
          <w:szCs w:val="15"/>
        </w:rPr>
        <w:t>Woodrooffe</w:t>
      </w:r>
      <w:proofErr w:type="spellEnd"/>
      <w:r w:rsidRPr="007B7021">
        <w:rPr>
          <w:sz w:val="15"/>
          <w:szCs w:val="15"/>
        </w:rPr>
        <w:t xml:space="preserve">, J., De Pont, J., (2011, April 11) </w:t>
      </w:r>
      <w:r w:rsidRPr="007B7021">
        <w:rPr>
          <w:i/>
          <w:iCs/>
          <w:sz w:val="15"/>
          <w:szCs w:val="15"/>
        </w:rPr>
        <w:t xml:space="preserve">Comparative Performance Evaluation of Proposed 33 </w:t>
      </w:r>
      <w:proofErr w:type="spellStart"/>
      <w:r w:rsidRPr="007B7021">
        <w:rPr>
          <w:i/>
          <w:iCs/>
          <w:sz w:val="15"/>
          <w:szCs w:val="15"/>
        </w:rPr>
        <w:t>ft</w:t>
      </w:r>
      <w:proofErr w:type="spellEnd"/>
      <w:r w:rsidRPr="007B7021">
        <w:rPr>
          <w:i/>
          <w:iCs/>
          <w:sz w:val="15"/>
          <w:szCs w:val="15"/>
        </w:rPr>
        <w:t xml:space="preserve"> Double Trailers Combinations with Existing 28 </w:t>
      </w:r>
      <w:proofErr w:type="spellStart"/>
      <w:r w:rsidRPr="007B7021">
        <w:rPr>
          <w:i/>
          <w:iCs/>
          <w:sz w:val="15"/>
          <w:szCs w:val="15"/>
        </w:rPr>
        <w:t>ft</w:t>
      </w:r>
      <w:proofErr w:type="spellEnd"/>
      <w:r w:rsidRPr="007B7021">
        <w:rPr>
          <w:i/>
          <w:iCs/>
          <w:sz w:val="15"/>
          <w:szCs w:val="15"/>
        </w:rPr>
        <w:t xml:space="preserve"> Double Trailers</w:t>
      </w:r>
      <w:r w:rsidRPr="007B7021">
        <w:rPr>
          <w:sz w:val="15"/>
          <w:szCs w:val="15"/>
        </w:rPr>
        <w:t>.</w:t>
      </w:r>
    </w:p>
  </w:endnote>
  <w:endnote w:id="11">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w:t>
      </w:r>
      <w:r w:rsidR="00594D6A" w:rsidRPr="007B7021">
        <w:rPr>
          <w:sz w:val="15"/>
          <w:szCs w:val="15"/>
        </w:rPr>
        <w:t>2013 MTIC Study</w:t>
      </w:r>
    </w:p>
  </w:endnote>
  <w:endnote w:id="12">
    <w:p w:rsidR="00C6747D" w:rsidRPr="007B7021" w:rsidRDefault="00C6747D" w:rsidP="00C6747D">
      <w:pPr>
        <w:pStyle w:val="EndnoteText"/>
        <w:rPr>
          <w:sz w:val="15"/>
          <w:szCs w:val="15"/>
        </w:rPr>
      </w:pPr>
      <w:r w:rsidRPr="007B7021">
        <w:rPr>
          <w:rStyle w:val="EndnoteReference"/>
          <w:sz w:val="15"/>
          <w:szCs w:val="15"/>
        </w:rPr>
        <w:endnoteRef/>
      </w:r>
      <w:r w:rsidRPr="007B7021">
        <w:rPr>
          <w:sz w:val="15"/>
          <w:szCs w:val="15"/>
        </w:rPr>
        <w:t xml:space="preserve"> </w:t>
      </w:r>
      <w:r w:rsidR="00594D6A" w:rsidRPr="007B7021">
        <w:rPr>
          <w:sz w:val="15"/>
          <w:szCs w:val="15"/>
        </w:rPr>
        <w:t>2013 MTIC Study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0D" w:rsidRDefault="00037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80" w:rsidRDefault="0003710D">
    <w:pPr>
      <w:jc w:val="center"/>
      <w:rPr>
        <w:b/>
        <w:sz w:val="18"/>
        <w:szCs w:val="18"/>
      </w:rPr>
    </w:pPr>
    <w:r>
      <w:rPr>
        <w:b/>
        <w:sz w:val="18"/>
        <w:szCs w:val="18"/>
      </w:rPr>
      <w:t>3100 Clarendon Blvd., Suite 20</w:t>
    </w:r>
    <w:r w:rsidR="00765236">
      <w:rPr>
        <w:b/>
        <w:sz w:val="18"/>
        <w:szCs w:val="18"/>
      </w:rPr>
      <w:t>0, Arlington, VA 22201. 703-294-6404. www.trucksafety.org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2" w:rsidRDefault="001B4C73" w:rsidP="00BC1C62">
    <w:pPr>
      <w:jc w:val="center"/>
      <w:rPr>
        <w:b/>
        <w:sz w:val="18"/>
        <w:szCs w:val="18"/>
      </w:rPr>
    </w:pPr>
    <w:r>
      <w:rPr>
        <w:b/>
        <w:sz w:val="18"/>
        <w:szCs w:val="18"/>
      </w:rPr>
      <w:t>3100 Clarendon Blvd., Suite 20</w:t>
    </w:r>
    <w:r w:rsidR="00765236">
      <w:rPr>
        <w:b/>
        <w:sz w:val="18"/>
        <w:szCs w:val="18"/>
      </w:rPr>
      <w:t>0, Arlington, VA 22201. 703-294-6404. www.trucksafety.org</w:t>
    </w:r>
  </w:p>
  <w:p w:rsidR="00BC1C62" w:rsidRDefault="0020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EB" w:rsidRDefault="002063EB" w:rsidP="00A919B7">
      <w:r>
        <w:separator/>
      </w:r>
    </w:p>
  </w:footnote>
  <w:footnote w:type="continuationSeparator" w:id="0">
    <w:p w:rsidR="002063EB" w:rsidRDefault="002063EB" w:rsidP="00A9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0D" w:rsidRDefault="0003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0D" w:rsidRDefault="00037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3B" w:rsidRDefault="00765236" w:rsidP="00C32A3B">
    <w:pPr>
      <w:ind w:left="-360"/>
      <w:jc w:val="center"/>
      <w:rPr>
        <w:b/>
        <w:sz w:val="18"/>
        <w:szCs w:val="18"/>
      </w:rPr>
    </w:pPr>
    <w:r>
      <w:rPr>
        <w:b/>
        <w:noProof/>
        <w:sz w:val="40"/>
        <w:szCs w:val="40"/>
      </w:rPr>
      <w:drawing>
        <wp:inline distT="0" distB="0" distL="0" distR="0" wp14:anchorId="1B59AFC5" wp14:editId="5AB8CB4B">
          <wp:extent cx="2096135" cy="888365"/>
          <wp:effectExtent l="0" t="0" r="0" b="6985"/>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88365"/>
                  </a:xfrm>
                  <a:prstGeom prst="rect">
                    <a:avLst/>
                  </a:prstGeom>
                  <a:noFill/>
                  <a:ln>
                    <a:noFill/>
                  </a:ln>
                </pic:spPr>
              </pic:pic>
            </a:graphicData>
          </a:graphic>
        </wp:inline>
      </w:drawing>
    </w:r>
  </w:p>
  <w:p w:rsidR="00C32A3B" w:rsidRDefault="00765236" w:rsidP="00C32A3B">
    <w:pPr>
      <w:pBdr>
        <w:bottom w:val="single" w:sz="12" w:space="1" w:color="auto"/>
      </w:pBdr>
      <w:jc w:val="center"/>
      <w:rPr>
        <w:b/>
        <w:sz w:val="18"/>
        <w:szCs w:val="18"/>
      </w:rPr>
    </w:pPr>
    <w:r>
      <w:rPr>
        <w:b/>
        <w:sz w:val="18"/>
        <w:szCs w:val="18"/>
      </w:rPr>
      <w:t>Parents Against Tired Truckers and Citizens for Reliable and Safe Highways</w:t>
    </w:r>
  </w:p>
  <w:p w:rsidR="00C32A3B" w:rsidRDefault="00206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5D"/>
    <w:multiLevelType w:val="hybridMultilevel"/>
    <w:tmpl w:val="AB58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44D3"/>
    <w:multiLevelType w:val="hybridMultilevel"/>
    <w:tmpl w:val="1C44D2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8164004"/>
    <w:multiLevelType w:val="hybridMultilevel"/>
    <w:tmpl w:val="38BC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1D2546"/>
    <w:multiLevelType w:val="hybridMultilevel"/>
    <w:tmpl w:val="DC8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9259B"/>
    <w:multiLevelType w:val="hybridMultilevel"/>
    <w:tmpl w:val="BEB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53126"/>
    <w:multiLevelType w:val="hybridMultilevel"/>
    <w:tmpl w:val="7A3A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ED729D"/>
    <w:multiLevelType w:val="hybridMultilevel"/>
    <w:tmpl w:val="5E00B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84253"/>
    <w:multiLevelType w:val="hybridMultilevel"/>
    <w:tmpl w:val="3F8EABB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5B307E0D"/>
    <w:multiLevelType w:val="hybridMultilevel"/>
    <w:tmpl w:val="684E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D40EE0">
      <w:start w:val="21"/>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E13A8"/>
    <w:multiLevelType w:val="hybridMultilevel"/>
    <w:tmpl w:val="AE2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50E34"/>
    <w:multiLevelType w:val="hybridMultilevel"/>
    <w:tmpl w:val="1714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7"/>
  </w:num>
  <w:num w:numId="6">
    <w:abstractNumId w:val="6"/>
  </w:num>
  <w:num w:numId="7">
    <w:abstractNumId w:val="0"/>
  </w:num>
  <w:num w:numId="8">
    <w:abstractNumId w:val="9"/>
  </w:num>
  <w:num w:numId="9">
    <w:abstractNumId w:val="10"/>
  </w:num>
  <w:num w:numId="10">
    <w:abstractNumId w:val="2"/>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B7"/>
    <w:rsid w:val="00000859"/>
    <w:rsid w:val="00024217"/>
    <w:rsid w:val="0003710D"/>
    <w:rsid w:val="00045148"/>
    <w:rsid w:val="00065420"/>
    <w:rsid w:val="00094ECB"/>
    <w:rsid w:val="000A0DAD"/>
    <w:rsid w:val="000E2192"/>
    <w:rsid w:val="0010556A"/>
    <w:rsid w:val="00123377"/>
    <w:rsid w:val="0015365C"/>
    <w:rsid w:val="00194A95"/>
    <w:rsid w:val="00195032"/>
    <w:rsid w:val="001B4C73"/>
    <w:rsid w:val="001C61DE"/>
    <w:rsid w:val="001E0D8D"/>
    <w:rsid w:val="001F5847"/>
    <w:rsid w:val="002063EB"/>
    <w:rsid w:val="00213D6F"/>
    <w:rsid w:val="00227AD0"/>
    <w:rsid w:val="00236FFD"/>
    <w:rsid w:val="00253705"/>
    <w:rsid w:val="00295F2C"/>
    <w:rsid w:val="00297FDE"/>
    <w:rsid w:val="002B2873"/>
    <w:rsid w:val="002C35CA"/>
    <w:rsid w:val="002E5D69"/>
    <w:rsid w:val="002F1AF3"/>
    <w:rsid w:val="0030226B"/>
    <w:rsid w:val="00314B9C"/>
    <w:rsid w:val="00323ED0"/>
    <w:rsid w:val="00333E41"/>
    <w:rsid w:val="00334483"/>
    <w:rsid w:val="003436E7"/>
    <w:rsid w:val="00376868"/>
    <w:rsid w:val="00376B69"/>
    <w:rsid w:val="003A2C95"/>
    <w:rsid w:val="003B131C"/>
    <w:rsid w:val="003C24EF"/>
    <w:rsid w:val="003D5A96"/>
    <w:rsid w:val="003E4649"/>
    <w:rsid w:val="00424C48"/>
    <w:rsid w:val="0042548D"/>
    <w:rsid w:val="0043053D"/>
    <w:rsid w:val="0045242B"/>
    <w:rsid w:val="004C05B4"/>
    <w:rsid w:val="0050422E"/>
    <w:rsid w:val="0053202D"/>
    <w:rsid w:val="00544658"/>
    <w:rsid w:val="00557381"/>
    <w:rsid w:val="00594D6A"/>
    <w:rsid w:val="005A079C"/>
    <w:rsid w:val="005C3A0F"/>
    <w:rsid w:val="00646072"/>
    <w:rsid w:val="00665D16"/>
    <w:rsid w:val="00682113"/>
    <w:rsid w:val="00684D55"/>
    <w:rsid w:val="00686551"/>
    <w:rsid w:val="006A380E"/>
    <w:rsid w:val="006A66E3"/>
    <w:rsid w:val="006D2637"/>
    <w:rsid w:val="00765236"/>
    <w:rsid w:val="007B7021"/>
    <w:rsid w:val="007F1F87"/>
    <w:rsid w:val="00826B84"/>
    <w:rsid w:val="00884601"/>
    <w:rsid w:val="00885088"/>
    <w:rsid w:val="00897541"/>
    <w:rsid w:val="008C6880"/>
    <w:rsid w:val="008E4B07"/>
    <w:rsid w:val="008F1973"/>
    <w:rsid w:val="009077A3"/>
    <w:rsid w:val="00913992"/>
    <w:rsid w:val="00914788"/>
    <w:rsid w:val="009450F7"/>
    <w:rsid w:val="00983EEF"/>
    <w:rsid w:val="009D6905"/>
    <w:rsid w:val="00A56717"/>
    <w:rsid w:val="00A919B7"/>
    <w:rsid w:val="00A94D99"/>
    <w:rsid w:val="00AE6B8F"/>
    <w:rsid w:val="00B072D9"/>
    <w:rsid w:val="00B536CA"/>
    <w:rsid w:val="00B65502"/>
    <w:rsid w:val="00B7526B"/>
    <w:rsid w:val="00B75A1F"/>
    <w:rsid w:val="00B85946"/>
    <w:rsid w:val="00BA1E87"/>
    <w:rsid w:val="00BB62C9"/>
    <w:rsid w:val="00BB78E7"/>
    <w:rsid w:val="00BE3C4C"/>
    <w:rsid w:val="00C0737A"/>
    <w:rsid w:val="00C208C1"/>
    <w:rsid w:val="00C359AF"/>
    <w:rsid w:val="00C60963"/>
    <w:rsid w:val="00C6747D"/>
    <w:rsid w:val="00C77528"/>
    <w:rsid w:val="00CA434E"/>
    <w:rsid w:val="00D06378"/>
    <w:rsid w:val="00D40051"/>
    <w:rsid w:val="00D55AC9"/>
    <w:rsid w:val="00D57321"/>
    <w:rsid w:val="00DD3998"/>
    <w:rsid w:val="00E12DD4"/>
    <w:rsid w:val="00E37E3B"/>
    <w:rsid w:val="00E44992"/>
    <w:rsid w:val="00E80BC3"/>
    <w:rsid w:val="00EB79DF"/>
    <w:rsid w:val="00ED74BC"/>
    <w:rsid w:val="00EE0890"/>
    <w:rsid w:val="00EE20DA"/>
    <w:rsid w:val="00F173E8"/>
    <w:rsid w:val="00F201AA"/>
    <w:rsid w:val="00F2224D"/>
    <w:rsid w:val="00F23259"/>
    <w:rsid w:val="00F63D88"/>
    <w:rsid w:val="00F64572"/>
    <w:rsid w:val="00F648D3"/>
    <w:rsid w:val="00FA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58013-F7CC-4159-980C-D340405C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9B7"/>
    <w:rPr>
      <w:color w:val="0000FF"/>
      <w:u w:val="single"/>
    </w:rPr>
  </w:style>
  <w:style w:type="paragraph" w:styleId="ListParagraph">
    <w:name w:val="List Paragraph"/>
    <w:basedOn w:val="Normal"/>
    <w:uiPriority w:val="34"/>
    <w:qFormat/>
    <w:rsid w:val="00A919B7"/>
    <w:pPr>
      <w:ind w:left="720"/>
      <w:contextualSpacing/>
    </w:pPr>
  </w:style>
  <w:style w:type="paragraph" w:styleId="Header">
    <w:name w:val="header"/>
    <w:basedOn w:val="Normal"/>
    <w:link w:val="HeaderChar"/>
    <w:unhideWhenUsed/>
    <w:rsid w:val="00A919B7"/>
    <w:pPr>
      <w:tabs>
        <w:tab w:val="center" w:pos="4320"/>
        <w:tab w:val="right" w:pos="8640"/>
      </w:tabs>
    </w:pPr>
  </w:style>
  <w:style w:type="character" w:customStyle="1" w:styleId="HeaderChar">
    <w:name w:val="Header Char"/>
    <w:basedOn w:val="DefaultParagraphFont"/>
    <w:link w:val="Header"/>
    <w:rsid w:val="00A919B7"/>
    <w:rPr>
      <w:rFonts w:ascii="Times New Roman" w:eastAsia="Times New Roman" w:hAnsi="Times New Roman" w:cs="Times New Roman"/>
      <w:sz w:val="24"/>
      <w:szCs w:val="24"/>
    </w:rPr>
  </w:style>
  <w:style w:type="paragraph" w:styleId="Footer">
    <w:name w:val="footer"/>
    <w:basedOn w:val="Normal"/>
    <w:link w:val="FooterChar"/>
    <w:unhideWhenUsed/>
    <w:rsid w:val="00A919B7"/>
    <w:pPr>
      <w:tabs>
        <w:tab w:val="center" w:pos="4320"/>
        <w:tab w:val="right" w:pos="8640"/>
      </w:tabs>
    </w:pPr>
  </w:style>
  <w:style w:type="character" w:customStyle="1" w:styleId="FooterChar">
    <w:name w:val="Footer Char"/>
    <w:basedOn w:val="DefaultParagraphFont"/>
    <w:link w:val="Footer"/>
    <w:rsid w:val="00A919B7"/>
    <w:rPr>
      <w:rFonts w:ascii="Times New Roman" w:eastAsia="Times New Roman" w:hAnsi="Times New Roman" w:cs="Times New Roman"/>
      <w:sz w:val="24"/>
      <w:szCs w:val="24"/>
    </w:rPr>
  </w:style>
  <w:style w:type="paragraph" w:customStyle="1" w:styleId="Default">
    <w:name w:val="Default"/>
    <w:rsid w:val="00A919B7"/>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FootnoteText">
    <w:name w:val="footnote text"/>
    <w:basedOn w:val="Normal"/>
    <w:link w:val="FootnoteTextChar"/>
    <w:uiPriority w:val="99"/>
    <w:unhideWhenUsed/>
    <w:rsid w:val="00A919B7"/>
    <w:rPr>
      <w:sz w:val="20"/>
      <w:szCs w:val="20"/>
    </w:rPr>
  </w:style>
  <w:style w:type="character" w:customStyle="1" w:styleId="FootnoteTextChar">
    <w:name w:val="Footnote Text Char"/>
    <w:basedOn w:val="DefaultParagraphFont"/>
    <w:link w:val="FootnoteText"/>
    <w:uiPriority w:val="99"/>
    <w:rsid w:val="00A919B7"/>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A919B7"/>
    <w:rPr>
      <w:sz w:val="20"/>
      <w:szCs w:val="20"/>
    </w:rPr>
  </w:style>
  <w:style w:type="character" w:customStyle="1" w:styleId="EndnoteTextChar">
    <w:name w:val="Endnote Text Char"/>
    <w:basedOn w:val="DefaultParagraphFont"/>
    <w:link w:val="EndnoteText"/>
    <w:uiPriority w:val="99"/>
    <w:rsid w:val="00A919B7"/>
    <w:rPr>
      <w:rFonts w:ascii="Times New Roman" w:eastAsia="Times New Roman" w:hAnsi="Times New Roman" w:cs="Times New Roman"/>
      <w:sz w:val="20"/>
      <w:szCs w:val="20"/>
    </w:rPr>
  </w:style>
  <w:style w:type="character" w:styleId="EndnoteReference">
    <w:name w:val="endnote reference"/>
    <w:uiPriority w:val="99"/>
    <w:semiHidden/>
    <w:unhideWhenUsed/>
    <w:rsid w:val="00A919B7"/>
    <w:rPr>
      <w:vertAlign w:val="superscript"/>
    </w:rPr>
  </w:style>
  <w:style w:type="character" w:styleId="CommentReference">
    <w:name w:val="annotation reference"/>
    <w:basedOn w:val="DefaultParagraphFont"/>
    <w:uiPriority w:val="99"/>
    <w:semiHidden/>
    <w:unhideWhenUsed/>
    <w:rsid w:val="00A919B7"/>
    <w:rPr>
      <w:sz w:val="16"/>
      <w:szCs w:val="16"/>
    </w:rPr>
  </w:style>
  <w:style w:type="paragraph" w:styleId="CommentText">
    <w:name w:val="annotation text"/>
    <w:basedOn w:val="Normal"/>
    <w:link w:val="CommentTextChar"/>
    <w:uiPriority w:val="99"/>
    <w:semiHidden/>
    <w:unhideWhenUsed/>
    <w:rsid w:val="00A919B7"/>
    <w:rPr>
      <w:sz w:val="20"/>
      <w:szCs w:val="20"/>
    </w:rPr>
  </w:style>
  <w:style w:type="character" w:customStyle="1" w:styleId="CommentTextChar">
    <w:name w:val="Comment Text Char"/>
    <w:basedOn w:val="DefaultParagraphFont"/>
    <w:link w:val="CommentText"/>
    <w:uiPriority w:val="99"/>
    <w:semiHidden/>
    <w:rsid w:val="00A919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19B7"/>
    <w:rPr>
      <w:rFonts w:ascii="Tahoma" w:hAnsi="Tahoma" w:cs="Tahoma"/>
      <w:sz w:val="16"/>
      <w:szCs w:val="16"/>
    </w:rPr>
  </w:style>
  <w:style w:type="character" w:customStyle="1" w:styleId="BalloonTextChar">
    <w:name w:val="Balloon Text Char"/>
    <w:basedOn w:val="DefaultParagraphFont"/>
    <w:link w:val="BalloonText"/>
    <w:uiPriority w:val="99"/>
    <w:semiHidden/>
    <w:rsid w:val="00A919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067427">
      <w:bodyDiv w:val="1"/>
      <w:marLeft w:val="0"/>
      <w:marRight w:val="0"/>
      <w:marTop w:val="0"/>
      <w:marBottom w:val="0"/>
      <w:divBdr>
        <w:top w:val="none" w:sz="0" w:space="0" w:color="auto"/>
        <w:left w:val="none" w:sz="0" w:space="0" w:color="auto"/>
        <w:bottom w:val="none" w:sz="0" w:space="0" w:color="auto"/>
        <w:right w:val="none" w:sz="0" w:space="0" w:color="auto"/>
      </w:divBdr>
      <w:divsChild>
        <w:div w:id="1867594428">
          <w:marLeft w:val="0"/>
          <w:marRight w:val="0"/>
          <w:marTop w:val="0"/>
          <w:marBottom w:val="0"/>
          <w:divBdr>
            <w:top w:val="none" w:sz="0" w:space="0" w:color="auto"/>
            <w:left w:val="none" w:sz="0" w:space="0" w:color="auto"/>
            <w:bottom w:val="none" w:sz="0" w:space="0" w:color="auto"/>
            <w:right w:val="none" w:sz="0" w:space="0" w:color="auto"/>
          </w:divBdr>
        </w:div>
        <w:div w:id="1702708480">
          <w:marLeft w:val="0"/>
          <w:marRight w:val="0"/>
          <w:marTop w:val="0"/>
          <w:marBottom w:val="0"/>
          <w:divBdr>
            <w:top w:val="none" w:sz="0" w:space="0" w:color="auto"/>
            <w:left w:val="none" w:sz="0" w:space="0" w:color="auto"/>
            <w:bottom w:val="none" w:sz="0" w:space="0" w:color="auto"/>
            <w:right w:val="none" w:sz="0" w:space="0" w:color="auto"/>
          </w:divBdr>
        </w:div>
      </w:divsChild>
    </w:div>
    <w:div w:id="13423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mticutc.org/assets/pdf/An_Analysis_of_Truck_Size_and_Weight_-_MTIC_Logo.pdf" TargetMode="External"/><Relationship Id="rId1" Type="http://schemas.openxmlformats.org/officeDocument/2006/relationships/hyperlink" Target="http://ntl.bts.gov/lib/59000/59100/59189/2016_Pocket_Guide_to_Large_Truck_and_Bus_Statistic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3DFF-F91C-4643-856C-55E70E29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Harry Adler</cp:lastModifiedBy>
  <cp:revision>2</cp:revision>
  <cp:lastPrinted>2017-04-17T13:59:00Z</cp:lastPrinted>
  <dcterms:created xsi:type="dcterms:W3CDTF">2017-04-24T04:39:00Z</dcterms:created>
  <dcterms:modified xsi:type="dcterms:W3CDTF">2017-04-24T04:39:00Z</dcterms:modified>
</cp:coreProperties>
</file>